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64C" w:rsidRPr="006D664C" w:rsidRDefault="006D664C" w:rsidP="006D664C">
      <w:pPr>
        <w:spacing w:before="100" w:beforeAutospacing="1" w:after="100" w:afterAutospacing="1"/>
        <w:outlineLvl w:val="1"/>
        <w:rPr>
          <w:rFonts w:ascii="Montserrat" w:eastAsia="Times New Roman" w:hAnsi="Montserrat" w:cs="Times New Roman"/>
          <w:b/>
          <w:bCs/>
          <w:color w:val="212529"/>
          <w:sz w:val="36"/>
          <w:szCs w:val="36"/>
          <w:lang w:eastAsia="cs-CZ"/>
        </w:rPr>
      </w:pPr>
      <w:r w:rsidRPr="006D664C">
        <w:rPr>
          <w:rFonts w:ascii="Montserrat" w:eastAsia="Times New Roman" w:hAnsi="Montserrat" w:cs="Times New Roman"/>
          <w:b/>
          <w:bCs/>
          <w:color w:val="212529"/>
          <w:sz w:val="36"/>
          <w:szCs w:val="36"/>
          <w:lang w:eastAsia="cs-CZ"/>
        </w:rPr>
        <w:t>Oznámení týkající se možného porušení zákona č. 171/2023 Sb., o ochraně oznamovatelů (</w:t>
      </w:r>
      <w:proofErr w:type="spellStart"/>
      <w:r w:rsidRPr="006D664C">
        <w:rPr>
          <w:rFonts w:ascii="Montserrat" w:eastAsia="Times New Roman" w:hAnsi="Montserrat" w:cs="Times New Roman"/>
          <w:b/>
          <w:bCs/>
          <w:color w:val="212529"/>
          <w:sz w:val="36"/>
          <w:szCs w:val="36"/>
          <w:lang w:eastAsia="cs-CZ"/>
        </w:rPr>
        <w:t>whistleblowing</w:t>
      </w:r>
      <w:proofErr w:type="spellEnd"/>
      <w:r w:rsidRPr="006D664C">
        <w:rPr>
          <w:rFonts w:ascii="Montserrat" w:eastAsia="Times New Roman" w:hAnsi="Montserrat" w:cs="Times New Roman"/>
          <w:b/>
          <w:bCs/>
          <w:color w:val="212529"/>
          <w:sz w:val="36"/>
          <w:szCs w:val="36"/>
          <w:lang w:eastAsia="cs-CZ"/>
        </w:rPr>
        <w:t>)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b/>
          <w:bCs/>
          <w:color w:val="212529"/>
          <w:sz w:val="27"/>
          <w:szCs w:val="27"/>
          <w:lang w:eastAsia="cs-CZ"/>
        </w:rPr>
        <w:t>Oznámení týkající se možného porušení zákona o ochraně oznamovatelů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Oznámení o možném protiprávním jednání ve smyslu zákona č. 171/2023 Sb., o ochraně oznamovatelů (dále jen „ZOO“), můžete učinit v případě, že jste se o jednání ve společnosti (dále jen „Společnost“), které má znaky trestného činu nebo přestupku, případně porušuje právní předpis nebo předpis Evropské unie, dozvěděli v souvislosti se svou prací nebo jinou obdobnou činností pro Společnost. To znamená kromě pracovněprávního vztahu např. i při samostatné výdělečné činnosti nebo činnosti na základě smlouvy mezi Společností a jejím smluvním partnerem. Podle okolností ale není vyloučeno přijetí oznámení ani od jiných osob. Další informace jsou obsaženy v ustanovení § 2 ZOO. Oznámení lze učinit i anonymně.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 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b/>
          <w:bCs/>
          <w:color w:val="212529"/>
          <w:sz w:val="27"/>
          <w:szCs w:val="27"/>
          <w:lang w:eastAsia="cs-CZ"/>
        </w:rPr>
        <w:t>Příslušná osoba k přijetí a zpracování oznámení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Příslušnou osobou k přijímání a zpracování oznámení v rámci Společnosti je: </w:t>
      </w:r>
      <w:r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Ing. Marcela </w:t>
      </w:r>
      <w:proofErr w:type="spellStart"/>
      <w:r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Růčková</w:t>
      </w:r>
      <w:proofErr w:type="spellEnd"/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 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b/>
          <w:bCs/>
          <w:color w:val="212529"/>
          <w:sz w:val="27"/>
          <w:szCs w:val="27"/>
          <w:lang w:eastAsia="cs-CZ"/>
        </w:rPr>
        <w:t>Podání oznámení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Oznámení možných protiprávních jednání v rámci Společnosti lze podat následujícími způsoby:</w:t>
      </w:r>
    </w:p>
    <w:p w:rsidR="006D664C" w:rsidRPr="006D664C" w:rsidRDefault="006D664C" w:rsidP="006D664C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u w:val="single"/>
          <w:lang w:eastAsia="cs-CZ"/>
        </w:rPr>
        <w:t>Elektronicky</w:t>
      </w:r>
    </w:p>
    <w:p w:rsidR="006D664C" w:rsidRPr="006D664C" w:rsidRDefault="006D664C" w:rsidP="006D664C">
      <w:pPr>
        <w:numPr>
          <w:ilvl w:val="1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e-mail: </w:t>
      </w:r>
      <w:hyperlink r:id="rId5" w:history="1">
        <w:r w:rsidRPr="00DC655A">
          <w:rPr>
            <w:rStyle w:val="Hypertextovodkaz"/>
            <w:rFonts w:ascii="Montserrat" w:eastAsia="Times New Roman" w:hAnsi="Montserrat" w:cs="Times New Roman"/>
            <w:i/>
            <w:iCs/>
            <w:sz w:val="27"/>
            <w:szCs w:val="27"/>
            <w:lang w:eastAsia="cs-CZ"/>
          </w:rPr>
          <w:t>marcela.ruckova@seznam.cz</w:t>
        </w:r>
      </w:hyperlink>
    </w:p>
    <w:p w:rsidR="006D664C" w:rsidRPr="006D664C" w:rsidRDefault="006D664C" w:rsidP="006D664C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u w:val="single"/>
          <w:lang w:eastAsia="cs-CZ"/>
        </w:rPr>
        <w:t>Písemně</w:t>
      </w:r>
    </w:p>
    <w:p w:rsidR="006D664C" w:rsidRPr="006D664C" w:rsidRDefault="006D664C" w:rsidP="006D664C">
      <w:pPr>
        <w:numPr>
          <w:ilvl w:val="1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listovní podání na adresu: </w:t>
      </w:r>
      <w:r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Štětovice 121, 79812 </w:t>
      </w: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k rukám příslušné osoby a s označením „NEOTVÍRAT“</w:t>
      </w:r>
    </w:p>
    <w:p w:rsidR="006D664C" w:rsidRPr="006D664C" w:rsidRDefault="006D664C" w:rsidP="006D664C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u w:val="single"/>
          <w:lang w:eastAsia="cs-CZ"/>
        </w:rPr>
        <w:t>Osobně</w:t>
      </w:r>
    </w:p>
    <w:p w:rsidR="006D664C" w:rsidRPr="006D664C" w:rsidRDefault="006D664C" w:rsidP="006D664C">
      <w:pPr>
        <w:numPr>
          <w:ilvl w:val="1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lze si domluvit osobní schůzku s příslušnou osobou prostřednictvím jejího telefonního čísla, nebo zasláním e-mailové zprávy na adresu: </w:t>
      </w:r>
      <w:hyperlink r:id="rId6" w:history="1">
        <w:r w:rsidRPr="00DC655A">
          <w:rPr>
            <w:rStyle w:val="Hypertextovodkaz"/>
            <w:rFonts w:ascii="Montserrat" w:eastAsia="Times New Roman" w:hAnsi="Montserrat" w:cs="Times New Roman"/>
            <w:i/>
            <w:iCs/>
            <w:sz w:val="27"/>
            <w:szCs w:val="27"/>
            <w:lang w:eastAsia="cs-CZ"/>
          </w:rPr>
          <w:t>marcela.ruckova@seznam.cz</w:t>
        </w:r>
      </w:hyperlink>
    </w:p>
    <w:p w:rsidR="006D664C" w:rsidRPr="006D664C" w:rsidRDefault="006D664C" w:rsidP="006D664C">
      <w:pPr>
        <w:numPr>
          <w:ilvl w:val="1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budete-li souhlasit, z osobního rozhovoru bude pořízen zvukový záznam, případně je možné vyhotovit zvláštní záznam z toho jednání, který zachytí jeho obsah, přičemž budete mít možnost se k němu následně vyjádřit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 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b/>
          <w:bCs/>
          <w:color w:val="212529"/>
          <w:sz w:val="27"/>
          <w:szCs w:val="27"/>
          <w:lang w:eastAsia="cs-CZ"/>
        </w:rPr>
        <w:t>Lhůty k vyrozumění oznamovatele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Příslušná osoba je povinna posoudit oznámení a písemně vyrozumět oznamovatele o výsledcích posouzení do 30 dnů ode dne přijetí oznámení, bude-li znát jeho totožnost. V případech skutkově nebo právně složitých lze tuto lhůtu prodloužit až o 30 dnů, a to nejvýše dvakrát. V takovém případě budete písemně vyrozuměni o prodloužení lhůty i jeho důvodech před uplynutím lhůty. V případě, že nebude shledáno podezření ze spáchání protiprávního jednání nebo že by se oznámení zakládalo na nepravdivých informacích, budete o tom rovněž informováni.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 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b/>
          <w:bCs/>
          <w:color w:val="212529"/>
          <w:sz w:val="27"/>
          <w:szCs w:val="27"/>
          <w:lang w:eastAsia="cs-CZ"/>
        </w:rPr>
        <w:t>Ochrana oznamovatele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Příslušná osoba zachovává důvěrnost ve vztahu k totožnosti oznamovatele i informacím uvedeným v oznámení.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Každý oznamovatel má právo na ochranu proti jakýmkoli odvetným opatřením i pouhé hrozbě takových opatření. Ochrana před odvetným opatřením však nenáleží osobě, která učinila oznámení, aniž měla oprávněné důvody se domnívat, že se zakládá na pravdivých informacích.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 </w:t>
      </w:r>
    </w:p>
    <w:p w:rsidR="006D664C" w:rsidRPr="006D664C" w:rsidRDefault="006D664C" w:rsidP="006D664C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b/>
          <w:bCs/>
          <w:color w:val="212529"/>
          <w:sz w:val="27"/>
          <w:szCs w:val="27"/>
          <w:lang w:eastAsia="cs-CZ"/>
        </w:rPr>
        <w:t>Alternativní podání oznámení</w:t>
      </w:r>
    </w:p>
    <w:p w:rsidR="006D664C" w:rsidRPr="006D664C" w:rsidRDefault="006D664C" w:rsidP="006D664C">
      <w:pPr>
        <w:numPr>
          <w:ilvl w:val="0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u w:val="single"/>
          <w:lang w:eastAsia="cs-CZ"/>
        </w:rPr>
        <w:t>Ministerstvo spravedlnosti</w:t>
      </w:r>
    </w:p>
    <w:p w:rsidR="006D664C" w:rsidRPr="006D664C" w:rsidRDefault="006D664C" w:rsidP="006D664C">
      <w:pPr>
        <w:numPr>
          <w:ilvl w:val="1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oznámení také lze podat prostřednictvím oznamovacího systému provozovaného Ministerstvem spravedlnosti, který je přístupný na internetových stránkách: </w:t>
      </w:r>
      <w:hyperlink r:id="rId7" w:history="1">
        <w:r w:rsidRPr="006D664C">
          <w:rPr>
            <w:rFonts w:ascii="Montserrat" w:eastAsia="Times New Roman" w:hAnsi="Montserrat" w:cs="Times New Roman"/>
            <w:i/>
            <w:iCs/>
            <w:color w:val="004F45"/>
            <w:sz w:val="27"/>
            <w:szCs w:val="27"/>
            <w:u w:val="single"/>
            <w:lang w:eastAsia="cs-CZ"/>
          </w:rPr>
          <w:t>https://oznamovatel.justice.cz/chci-podat-oznameni/</w:t>
        </w:r>
      </w:hyperlink>
    </w:p>
    <w:p w:rsidR="006D664C" w:rsidRPr="006D664C" w:rsidRDefault="006D664C" w:rsidP="006D664C">
      <w:pPr>
        <w:numPr>
          <w:ilvl w:val="0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u w:val="single"/>
          <w:lang w:eastAsia="cs-CZ"/>
        </w:rPr>
        <w:t>Finanční analytický úřad (dále „FAÚ“)</w:t>
      </w:r>
    </w:p>
    <w:p w:rsidR="006D664C" w:rsidRPr="006D664C" w:rsidRDefault="006D664C" w:rsidP="006D664C">
      <w:pPr>
        <w:numPr>
          <w:ilvl w:val="1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6D664C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pokud se jedná o protiprávní jednání ve smyslu zákona č. 253/2008 Sb., o některých opatřeních proti legalizaci výnosů z trestné činnosti a financování terorismu, ve znění pozdějších předpisů, tak je možné oznámení podat prostřednictvím vnějšího oznamovacího systému vedeného FAÚ. Další informace a kontakty pro podání oznámení jsou na internetových stránkách FAÚ: </w:t>
      </w:r>
      <w:hyperlink r:id="rId8" w:history="1">
        <w:r w:rsidRPr="006D664C">
          <w:rPr>
            <w:rFonts w:ascii="Montserrat" w:eastAsia="Times New Roman" w:hAnsi="Montserrat" w:cs="Times New Roman"/>
            <w:i/>
            <w:iCs/>
            <w:color w:val="004F45"/>
            <w:sz w:val="27"/>
            <w:szCs w:val="27"/>
            <w:u w:val="single"/>
            <w:lang w:eastAsia="cs-CZ"/>
          </w:rPr>
          <w:t>https://fau.gov.cz/kontakty</w:t>
        </w:r>
      </w:hyperlink>
    </w:p>
    <w:p w:rsidR="007202B5" w:rsidRDefault="00000000"/>
    <w:sectPr w:rsidR="007202B5" w:rsidSect="00B07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9C3"/>
    <w:multiLevelType w:val="multilevel"/>
    <w:tmpl w:val="0DFA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71629"/>
    <w:multiLevelType w:val="multilevel"/>
    <w:tmpl w:val="89D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104985">
    <w:abstractNumId w:val="0"/>
  </w:num>
  <w:num w:numId="2" w16cid:durableId="104564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4C"/>
    <w:rsid w:val="006D664C"/>
    <w:rsid w:val="007F0113"/>
    <w:rsid w:val="00B07919"/>
    <w:rsid w:val="00D9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25A6CAE-063A-CF43-8955-236115D0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66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66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66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6D664C"/>
    <w:rPr>
      <w:b/>
      <w:bCs/>
    </w:rPr>
  </w:style>
  <w:style w:type="character" w:customStyle="1" w:styleId="apple-converted-space">
    <w:name w:val="apple-converted-space"/>
    <w:basedOn w:val="Standardnpsmoodstavce"/>
    <w:rsid w:val="006D664C"/>
  </w:style>
  <w:style w:type="character" w:styleId="Hypertextovodkaz">
    <w:name w:val="Hyperlink"/>
    <w:basedOn w:val="Standardnpsmoodstavce"/>
    <w:uiPriority w:val="99"/>
    <w:unhideWhenUsed/>
    <w:rsid w:val="006D664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u.gov.cz/konta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namovatel.justice.cz/chci-podat-oznam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ruckova@seznam.cz" TargetMode="External"/><Relationship Id="rId5" Type="http://schemas.openxmlformats.org/officeDocument/2006/relationships/hyperlink" Target="mailto:marcela.ruc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Růčková</dc:creator>
  <cp:keywords/>
  <dc:description/>
  <cp:lastModifiedBy>Marcela Růčková</cp:lastModifiedBy>
  <cp:revision>2</cp:revision>
  <cp:lastPrinted>2024-10-15T09:32:00Z</cp:lastPrinted>
  <dcterms:created xsi:type="dcterms:W3CDTF">2025-08-12T09:48:00Z</dcterms:created>
  <dcterms:modified xsi:type="dcterms:W3CDTF">2025-08-12T09:48:00Z</dcterms:modified>
</cp:coreProperties>
</file>