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01E" w:rsidRDefault="00DD601E" w:rsidP="00DD601E">
      <w:pPr>
        <w:pStyle w:val="Normlnweb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proofErr w:type="spellStart"/>
      <w:r w:rsidRPr="00DD601E">
        <w:rPr>
          <w:rFonts w:ascii="Arial" w:hAnsi="Arial" w:cs="Arial"/>
          <w:b/>
          <w:bCs/>
          <w:color w:val="000000" w:themeColor="text1"/>
          <w:sz w:val="48"/>
          <w:szCs w:val="48"/>
        </w:rPr>
        <w:t>Střet</w:t>
      </w:r>
      <w:proofErr w:type="spellEnd"/>
      <w:r w:rsidRPr="00DD601E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DD601E">
        <w:rPr>
          <w:rFonts w:ascii="Arial" w:hAnsi="Arial" w:cs="Arial"/>
          <w:b/>
          <w:bCs/>
          <w:color w:val="000000" w:themeColor="text1"/>
          <w:sz w:val="48"/>
          <w:szCs w:val="48"/>
        </w:rPr>
        <w:t>zájmu</w:t>
      </w:r>
      <w:proofErr w:type="spellEnd"/>
      <w:r w:rsidRPr="00DD601E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1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Úvodni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ustanovení </w:t>
      </w:r>
    </w:p>
    <w:p w:rsidR="00DD601E" w:rsidRPr="00DD601E" w:rsidRDefault="006F230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ArialMT" w:eastAsia="Times New Roman" w:hAnsi="ArialMT" w:cs="Times New Roman"/>
          <w:sz w:val="20"/>
          <w:szCs w:val="20"/>
          <w:lang w:eastAsia="cs-CZ"/>
        </w:rPr>
        <w:t xml:space="preserve">Ing. Marcela </w:t>
      </w:r>
      <w:proofErr w:type="spellStart"/>
      <w:r>
        <w:rPr>
          <w:rFonts w:ascii="ArialMT" w:eastAsia="Times New Roman" w:hAnsi="ArialMT" w:cs="Times New Roman"/>
          <w:sz w:val="20"/>
          <w:szCs w:val="20"/>
          <w:lang w:eastAsia="cs-CZ"/>
        </w:rPr>
        <w:t>Růčková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„</w:t>
      </w:r>
      <w:proofErr w:type="spellStart"/>
      <w:r w:rsidR="00DD601E"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Zprostředkovatel</w:t>
      </w:r>
      <w:proofErr w:type="spellEnd"/>
      <w:r w:rsidR="00DD601E"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“ nebo „</w:t>
      </w:r>
      <w:proofErr w:type="spellStart"/>
      <w:r w:rsidR="00DD601E"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Společnost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“), IČO: 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>68923082</w:t>
      </w:r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se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sídlem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>Štětovice 121, 79812</w:t>
      </w:r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je ve smyslu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zákona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č. 170/2018 Sb., o distribuci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zajištěni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́ (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jen „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ZoDPZ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“)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registrovaným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samostatným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zprostředkovatelem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u ČNB.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Kontaktni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údaje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: 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 xml:space="preserve">Ing. Marcela </w:t>
      </w:r>
      <w:proofErr w:type="spellStart"/>
      <w:proofErr w:type="gramStart"/>
      <w:r>
        <w:rPr>
          <w:rFonts w:ascii="ArialMT" w:eastAsia="Times New Roman" w:hAnsi="ArialMT" w:cs="Times New Roman"/>
          <w:sz w:val="20"/>
          <w:szCs w:val="20"/>
          <w:lang w:eastAsia="cs-CZ"/>
        </w:rPr>
        <w:t>Růčková</w:t>
      </w:r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>s</w:t>
      </w:r>
      <w:proofErr w:type="spellEnd"/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> ,</w:t>
      </w:r>
      <w:proofErr w:type="gramEnd"/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Štětovice 121, 79812 Kralice na 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>H</w:t>
      </w:r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ané telefon 602782941, </w:t>
      </w:r>
      <w:proofErr w:type="spellStart"/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>marcela.ruckova@seznam</w:t>
      </w:r>
      <w:proofErr w:type="spellEnd"/>
      <w:r w:rsidR="00DD601E">
        <w:rPr>
          <w:rFonts w:ascii="ArialMT" w:eastAsia="Times New Roman" w:hAnsi="ArialMT" w:cs="Times New Roman"/>
          <w:sz w:val="20"/>
          <w:szCs w:val="20"/>
          <w:lang w:eastAsia="cs-CZ"/>
        </w:rPr>
        <w:t>.</w:t>
      </w:r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ve smyslu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příslušných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úředních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sděleni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Česke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národni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banky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uplatňuje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následujíci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pravidla pro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zjišťováni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ve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jen „Pravidla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="00DD601E"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̊“).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Pravidla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obsahují hlavní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zásady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postupy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zjišťováni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ve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jakoz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i u osob,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majetkove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nebo jinak propojeny, a 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zejména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 identifikaci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možných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zamezení vzniku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vzniklých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Cílem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Pravidel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je, aby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nedocházelo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poškozováni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potenciálních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třetích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finančních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institucí, aj.).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Statutárni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orgán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nejméne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jednou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ročne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přezkouma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Pravidla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přijme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vhodna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opatřeni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náprave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nedostatků.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„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Vázaným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zástupcem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 se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účely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Pravidel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rozumi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vázany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ve smyslu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. §15 „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ZoDPZ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2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Případy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střetu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zájmu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ve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Společnosti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Pravidla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obsahují pravidla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zjišťováni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mezi: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(a)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jejími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Vázanými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jejími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potenciálními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;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(b) osobou,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ovláda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ovládána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osobou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ovládanou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stejnou osobou jako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členy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jejich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orgánu a Vázanými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potenciálními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;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(c) osobami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patřícími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do skupiny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osobami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vykonávajícími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část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smluvním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základe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(outsourcing) a osobami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zastupujícími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potenciálními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;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(d)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potenciálními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navzájem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Default="00DD601E" w:rsidP="00DD601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účely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Pravidel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potenciálni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budou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textu, pokud je 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vhodne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označovat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jako „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“.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3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Základni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předpoklady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pro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efektivni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řízeni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střetu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zájmu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rámci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efektivního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: </w:t>
      </w:r>
    </w:p>
    <w:p w:rsidR="00DD601E" w:rsidRPr="00DD601E" w:rsidRDefault="00DD601E" w:rsidP="00DD601E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nastavenou takovou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organizačni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strukturu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docházi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personálnímu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odděleni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jednotlivých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organizačních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útvaru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takovým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způsobem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efektivne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zamezuje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nežádoucímu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toku informací a jejich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případnému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zneužiti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́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čínske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zdi) </w:t>
      </w:r>
    </w:p>
    <w:p w:rsidR="00DD601E" w:rsidRPr="00DD601E" w:rsidRDefault="00DD601E" w:rsidP="00DD601E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zajišťuje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funkčni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organizačni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nezávislost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jednotlivých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organizačních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útvaru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dostatečne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materiálni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organizačni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podmínky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objektivni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výkon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lastRenderedPageBreak/>
        <w:t xml:space="preserve">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rámci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systému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vnitřni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kontroly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zajišťuje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průběžnou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kontrolu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compliance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) osob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poskytujících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finančni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jménem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osob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vykonávajících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souvisejíci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nastavení pravidel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ve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předcházi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0"/>
          <w:szCs w:val="20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4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Zjišťováni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a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řízeni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střetu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zájmu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zjišťováni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posuzováni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bere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úvahu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zda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osoba uvedená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článku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2 tohoto dokumentu: </w:t>
      </w:r>
    </w:p>
    <w:p w:rsidR="00DD601E" w:rsidRPr="00DD601E" w:rsidRDefault="00DD601E" w:rsidP="00DD601E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může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získat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finančni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prospěch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se vyhnout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finančni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ztráte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úkor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005FE5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odlišny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výsledku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výsledku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obchodu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od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tohoto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7D2359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́ motivaci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finančni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jinou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)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upřednostnit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jiného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skupiny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vykonáva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stejnou podnikatelskou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jako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992457">
      <w:pPr>
        <w:numPr>
          <w:ilvl w:val="1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souvislosti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poskytovanou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dostáva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dostane od jiné osoby,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podobe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peněžních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nepeněžních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výhod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</w:p>
    <w:p w:rsidR="00DD601E" w:rsidRPr="00DD601E" w:rsidRDefault="00DD601E" w:rsidP="00DD601E">
      <w:pPr>
        <w:spacing w:before="100" w:beforeAutospacing="1" w:after="100" w:afterAutospacing="1"/>
        <w:ind w:left="1440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Pokud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nelze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odvrátit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upřednostni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vždy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vlastními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osob,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majetkove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nebo jinak propojeny. Pokud dojde ke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mezi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navzájem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zajistí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spravedlive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řešeni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pro tyto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spravedlive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řešeni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nelze zajistit,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může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odmítnout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provedení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Pokud ani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přes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přijata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opatřeni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nelze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spolehlive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zamezit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nepříznivému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vlivu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sděli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poskytnutím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informace o povaze nebo zdroji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poskytne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informace o povaze nebo zdroji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trvalém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nosiči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informací (v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listinne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podobe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nebo elektronicky)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způsobem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v rozsahu,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zohlední povahu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umožni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mu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řádne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vzít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úvahu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souvisejíci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přičemz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možnost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učinit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informovane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rozhodnutí, zda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využije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nabízene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nikoli.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5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Řízeni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podstatného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střetu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zájmu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rámci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systému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vnitřni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kontroly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zjišťuje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okolnosti,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ve vztahu ke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konkrétním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službám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poskytuje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jina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osoba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jejím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jménem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napr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vázany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vázaného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), mohou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vést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představuje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podstatne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nebezpeči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poškozeni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dále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téz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̌ „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Podstatny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̊“).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zabezpečuje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podíleji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výkonu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kterými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 spojen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Podstatny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vykonávaji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svou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 takovou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mírou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nezávislosti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přiměřena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charakteru, rozsahu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složitosti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závažnosti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nebezpeči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poškozeni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5.1 Postupy pro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řízeni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podstatného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střetu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̊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zájmu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̊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Postupy k zamezení nebo kontrole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výměny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informací mezi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pokud je s informacemi spojeno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nebezpeči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a pokud by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výměna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informací mohla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poškodit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</w:p>
    <w:p w:rsidR="00DD601E" w:rsidRPr="00DD601E" w:rsidRDefault="00DD601E" w:rsidP="00DD601E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nezávisla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kontrola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podíleji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Zákazníkům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3314B9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zamezení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příme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vazby mezi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příjmy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jiného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pokud ve vztahu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těchto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může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vzniknout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</w:p>
    <w:p w:rsidR="00DD601E" w:rsidRPr="00DD601E" w:rsidRDefault="00DD601E" w:rsidP="007B28AA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opatřeni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zabraňuji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možnosti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vykonáváni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neoprávněného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nedůvodného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vlivu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způsob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kterým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zabezpečuje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A65653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lastRenderedPageBreak/>
        <w:t>opatřeni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zamezi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aby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podílel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pokud by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přitom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mohlo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dojít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ohroženi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řádného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nebo zajistí kontrolu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tak, aby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ohroženi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řádného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nedocházelo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93022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dalši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opatřeni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 zamezení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pokud to budou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konkrétni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situace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postupy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vyžadovat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br/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Vrcholne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vedení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průběžne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nejméne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však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jednou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ročne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vyhodnocuje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zprávy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podstatných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ve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000000" w:themeColor="text1"/>
          <w:sz w:val="20"/>
          <w:szCs w:val="20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6 Hlavní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případy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střetu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zájmu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̊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000000" w:themeColor="text1"/>
          <w:sz w:val="20"/>
          <w:szCs w:val="20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ZPROSTŘEDKOVÁNÍ POJIŠTĚNÍ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souvislosti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zprostředkováním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docházi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kdy 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motivována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distribuci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základe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smlouvy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uzavřene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pojišťovnou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Jedná se 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kterému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nemůže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efektivne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předcházet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informuje 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této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skutečnosti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aby mohl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učinit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informovane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rozhodnutí.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uzavřením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smlouvy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upozorňuje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jsou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pojišťovnou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pro kterou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zprostředkovala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uzavřeni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smlouvy.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Pravidla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vázaných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doplňkových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pojišťovacích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zprostředkovatelu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nesmi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motivovat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neplněni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povinností podle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zákona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č. 170/2018 Sb., o distribuci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jiných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právních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předpisu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v rozsahu,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jakém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vztahují k distribuci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přímo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použitelných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předpisu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Evropske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unie v oblasti distribuce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zejména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oblasti pravidel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jednáni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přičemz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nesmi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motivovat k tomu, aby byly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Zákazníkům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doporučovány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konkrétni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produkty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úkor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jiných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produktů,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by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lépe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odpovídaly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potřebám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POBÍDKY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7 Definice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pobídky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Specifickým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jsou tzv.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nesmi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finančních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́)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přijmout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nabídnout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poskytnout poplatek,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jinou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peněžitou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nepeněžitou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výhodu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může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vést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porušeni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povinnosti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jednat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kvalifikovane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čestne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spravedlive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a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nejlepším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porušeni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povinnosti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řádného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účely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nepovažuje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přípustnou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pokud je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jejím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důsledku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zaujate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narušene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přistupuje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pobídek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stejným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způsobem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jako 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jiných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střetu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zájmu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̊. 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znamena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zajišťuje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identifikaci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pobídek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opatřeni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proti jejich vzniku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provádi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jejich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efektivni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řízeni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obecne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rovine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rozlišuje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tyto kategorie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pobídek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ktere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smi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́ poskytovat nebo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přijímat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1.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Zákaznicke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hrazeny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za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jsou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vypláceny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zákazníkovi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ale </w:t>
      </w:r>
      <w:proofErr w:type="spellStart"/>
      <w:proofErr w:type="gram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výlučne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̌</w:t>
      </w:r>
      <w:proofErr w:type="gram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pokud jsou v souladu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zákonem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 xml:space="preserve">2.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Provozni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umožni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služeb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pro tento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účel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nutne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přípustne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případe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jejich povaha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rozporu s povinností poskytovat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 odbornou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péči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́. </w:t>
      </w:r>
    </w:p>
    <w:p w:rsidR="00DD601E" w:rsidRPr="00DD601E" w:rsidRDefault="00DD601E" w:rsidP="00DD601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Mezi tyto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patři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napr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̌.: </w:t>
      </w:r>
    </w:p>
    <w:p w:rsidR="00DD601E" w:rsidRPr="00DD601E" w:rsidRDefault="00DD601E" w:rsidP="00DD601E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platby za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účetnictvi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právni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daňove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6766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náklady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spojene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plněním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povinností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vůči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Česke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národni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́ bance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správni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poplatky,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náklady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systém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výkaznictvi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aj.)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vůči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zákazníkům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poštovni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a jiné poplatky za komunikaci </w:t>
      </w:r>
    </w:p>
    <w:p w:rsidR="00DD601E" w:rsidRPr="00DD601E" w:rsidRDefault="00DD601E" w:rsidP="00DD601E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poplatky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spojene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vedením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účtu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 bance </w:t>
      </w:r>
    </w:p>
    <w:p w:rsidR="00DD601E" w:rsidRPr="00DD601E" w:rsidRDefault="00DD601E" w:rsidP="00DD601E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školeni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předepsana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právními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předpisy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napr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̌. AML) </w:t>
      </w:r>
    </w:p>
    <w:p w:rsidR="00DD601E" w:rsidRPr="00DD601E" w:rsidRDefault="00DD601E" w:rsidP="00DD601E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odpovědnosti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3.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Ostatni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DD601E" w:rsidRDefault="00DD601E" w:rsidP="00DD601E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Ostatni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nespadaji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pod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provozni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hrazene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třeti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strane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pro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třeti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stranu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třeti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stranou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třeti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stranu,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jsou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přípustne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návaznosti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splněni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následujících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podmínek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>
        <w:rPr>
          <w:rFonts w:ascii="ArialMT" w:eastAsia="Times New Roman" w:hAnsi="ArialMT" w:cs="Times New Roman"/>
          <w:sz w:val="20"/>
          <w:szCs w:val="20"/>
          <w:lang w:eastAsia="cs-CZ"/>
        </w:rPr>
        <w:t>Z</w:t>
      </w: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ákazník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byl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poskytnutím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jasne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srozumitelne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úplne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informován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 existenci a povaze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výši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hodnote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nebo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způsobu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jejího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výpočtu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pokud je nelze zjistit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předem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přispíva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zlepšeni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kvality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poskytovane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DD601E" w:rsidRPr="00DD601E" w:rsidRDefault="00DD601E" w:rsidP="00DD601E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rozporu s povinností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poskytovat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služby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 odbornou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péči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́</w:t>
      </w: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br/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vede seznam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konkrétních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pobídek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přičemz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žádost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sděli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podrobnosti k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jednotlive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pobídce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Vnitřni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plněni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rámci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ktere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zahrnuje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napr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zaměstnancu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Vázaných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zástupcu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̊, vybavení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pobočky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apod.,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Přijeti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nebo poskytnutí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pracovníky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mimo tento vztah se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přičíta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000000" w:themeColor="text1"/>
          <w:sz w:val="20"/>
          <w:szCs w:val="20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8 Formy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konkrétních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pobídek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ve </w:t>
      </w:r>
      <w:proofErr w:type="spellStart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Společnosti</w:t>
      </w:r>
      <w:proofErr w:type="spellEnd"/>
      <w:r w:rsidRPr="00DD601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V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konkrétni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podobe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̌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přijíma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následujíci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pobídky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color w:val="000000" w:themeColor="text1"/>
          <w:sz w:val="20"/>
          <w:szCs w:val="20"/>
          <w:lang w:eastAsia="cs-CZ"/>
        </w:rPr>
      </w:pPr>
      <w:r w:rsidRPr="00DD60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ZPROSTŘEDKOVATELSKÁ ČINNOST V POJIŠŤOVNICTVÍ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(provize) hrazená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pojišťovnou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za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zprostředkováni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uzavřeni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pojistne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smlouvy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souvisejíci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činnosti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následna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péče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o pojistnou smlouvu, aj.).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se obvykle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skláda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ze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sjednatelske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provize 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následne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provize. 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Na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žádost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Zákazníka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Společnost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upřesni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způsoby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svého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odměňováni</w:t>
      </w:r>
      <w:proofErr w:type="spellEnd"/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 xml:space="preserve">́. </w:t>
      </w:r>
    </w:p>
    <w:p w:rsidR="00DD601E" w:rsidRDefault="00DD601E" w:rsidP="00DD601E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sz w:val="20"/>
          <w:szCs w:val="20"/>
          <w:lang w:eastAsia="cs-CZ"/>
        </w:rPr>
      </w:pPr>
      <w:r w:rsidRPr="00DD601E">
        <w:rPr>
          <w:rFonts w:ascii="ArialMT" w:eastAsia="Times New Roman" w:hAnsi="ArialMT" w:cs="Times New Roman"/>
          <w:sz w:val="20"/>
          <w:szCs w:val="20"/>
          <w:lang w:eastAsia="cs-CZ"/>
        </w:rPr>
        <w:t>V</w:t>
      </w:r>
      <w:r>
        <w:rPr>
          <w:rFonts w:ascii="ArialMT" w:eastAsia="Times New Roman" w:hAnsi="ArialMT" w:cs="Times New Roman"/>
          <w:sz w:val="20"/>
          <w:szCs w:val="20"/>
          <w:lang w:eastAsia="cs-CZ"/>
        </w:rPr>
        <w:t> Olomouci dne 1.12.2018</w:t>
      </w:r>
    </w:p>
    <w:p w:rsidR="00DD601E" w:rsidRPr="00DD601E" w:rsidRDefault="00DD601E" w:rsidP="00DD601E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0"/>
          <w:szCs w:val="20"/>
          <w:lang w:eastAsia="cs-CZ"/>
        </w:rPr>
      </w:pPr>
      <w:r>
        <w:rPr>
          <w:rFonts w:ascii="ArialMT" w:eastAsia="Times New Roman" w:hAnsi="ArialMT" w:cs="Times New Roman"/>
          <w:sz w:val="20"/>
          <w:szCs w:val="20"/>
          <w:lang w:eastAsia="cs-CZ"/>
        </w:rPr>
        <w:t xml:space="preserve">Ing. Marcela </w:t>
      </w:r>
      <w:proofErr w:type="spellStart"/>
      <w:r>
        <w:rPr>
          <w:rFonts w:ascii="ArialMT" w:eastAsia="Times New Roman" w:hAnsi="ArialMT" w:cs="Times New Roman"/>
          <w:sz w:val="20"/>
          <w:szCs w:val="20"/>
          <w:lang w:eastAsia="cs-CZ"/>
        </w:rPr>
        <w:t>Růčková</w:t>
      </w:r>
      <w:proofErr w:type="spellEnd"/>
      <w:r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000000" w:rsidRDefault="00000000"/>
    <w:sectPr w:rsidR="007202B5" w:rsidSect="00B07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3E8"/>
    <w:multiLevelType w:val="multilevel"/>
    <w:tmpl w:val="0EF6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92C1C"/>
    <w:multiLevelType w:val="multilevel"/>
    <w:tmpl w:val="B6E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FB3124"/>
    <w:multiLevelType w:val="multilevel"/>
    <w:tmpl w:val="E8B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754E23"/>
    <w:multiLevelType w:val="multilevel"/>
    <w:tmpl w:val="94C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328809">
    <w:abstractNumId w:val="3"/>
  </w:num>
  <w:num w:numId="2" w16cid:durableId="2124616053">
    <w:abstractNumId w:val="0"/>
  </w:num>
  <w:num w:numId="3" w16cid:durableId="1785877293">
    <w:abstractNumId w:val="2"/>
  </w:num>
  <w:num w:numId="4" w16cid:durableId="64647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1E"/>
    <w:rsid w:val="006F230E"/>
    <w:rsid w:val="007F0113"/>
    <w:rsid w:val="00B07919"/>
    <w:rsid w:val="00D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F96B8"/>
  <w15:chartTrackingRefBased/>
  <w15:docId w15:val="{6F8EB913-0710-C04E-9E17-ED1B2BB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60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1772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Růčková</dc:creator>
  <cp:keywords/>
  <dc:description/>
  <cp:lastModifiedBy>Marcela</cp:lastModifiedBy>
  <cp:revision>2</cp:revision>
  <dcterms:created xsi:type="dcterms:W3CDTF">2024-10-21T15:23:00Z</dcterms:created>
  <dcterms:modified xsi:type="dcterms:W3CDTF">2024-10-21T15:23:00Z</dcterms:modified>
</cp:coreProperties>
</file>