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chcete reklamovat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službu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poskytnutou poradcem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r w:rsidR="00155B50">
        <w:rPr>
          <w:rFonts w:ascii="ArialMT" w:eastAsia="Times New Roman" w:hAnsi="ArialMT" w:cs="Times New Roman"/>
          <w:sz w:val="20"/>
          <w:szCs w:val="20"/>
          <w:lang w:eastAsia="cs-CZ"/>
        </w:rPr>
        <w:t xml:space="preserve">Ing. Marcela </w:t>
      </w:r>
      <w:proofErr w:type="spellStart"/>
      <w:r w:rsidR="00155B50">
        <w:rPr>
          <w:rFonts w:ascii="ArialMT" w:eastAsia="Times New Roman" w:hAnsi="ArialMT" w:cs="Times New Roman"/>
          <w:sz w:val="20"/>
          <w:szCs w:val="20"/>
          <w:lang w:eastAsia="cs-CZ"/>
        </w:rPr>
        <w:t>Růčková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podat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jeho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činnost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postupujte dle pokynů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našeho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reklamačního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řádu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Níže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jeho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úplne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Základni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ustanovení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1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Úvodni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́ ustanovení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1.1 </w:t>
      </w:r>
      <w:proofErr w:type="spellStart"/>
      <w:r>
        <w:rPr>
          <w:rFonts w:ascii="ArialMT" w:eastAsia="Times New Roman" w:hAnsi="ArialMT" w:cs="Times New Roman"/>
          <w:sz w:val="20"/>
          <w:szCs w:val="20"/>
          <w:lang w:eastAsia="cs-CZ"/>
        </w:rPr>
        <w:t>Růčkovi</w:t>
      </w:r>
      <w:proofErr w:type="spellEnd"/>
      <w:r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spol. s r.o.</w:t>
      </w: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dále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jen „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“ nebo „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Zprostředkovatel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“)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pojišťovaci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makléřska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poskytuje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oblasti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všech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odvětvi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hospodářstvi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občanske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zaměstnanecke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programy.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1.2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povinna poskytovat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 odbornou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péči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za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podmínek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stanovených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obecne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závazných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právních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předpisech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2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Předmět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reklamačního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řádu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2.1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Předmětem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reklamačního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řádu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stanovit pravidla pro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vyřizováni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reklamací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potenciálních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2.2 Pro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účely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reklamačního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řádu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rozumi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osoba,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základe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zprostředkovatelske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uzavřela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 institucí smlouvu,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jejímz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předmětem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služba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(zejm. v oblasti 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neživotního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́).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2.3 Pro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účely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reklamačního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řádu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potenciálním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rozumi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osoba,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jsou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nabízeny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specifikovane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2.2.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2.4 Pro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účely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reklamačního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řádu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potenciálni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budou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dále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textu, pokud je to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vhodne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označovat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jako „Zákazník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“.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3 Pojem reklamace a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stížnosti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3.1 Reklamací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rozumi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podáni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adresovane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ve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kterém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uvádi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mu ze strany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byla poskytnuta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služba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rozporu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obecne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závaznými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právními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předpisy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obsahujíci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požadavek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vyjádřeni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nápravu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vzniklého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stavu. </w:t>
      </w:r>
    </w:p>
    <w:p w:rsidR="00567583" w:rsidRDefault="00567583" w:rsidP="00567583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3.2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rozumi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podáni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ve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kterém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stěžuje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nepatřične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jednáni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jiných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prostřednictvím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vykonáva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svoji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činnost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Podáni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́ reklamace/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stížnosti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4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Oprávněna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́ osoba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4.1 Reklamaci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podat pouze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.</w:t>
      </w: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br/>
        <w:t xml:space="preserve">4.2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krome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potenciálni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Zprostředkovatele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4.3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take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osoba,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jedná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základe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plne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moci za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Součásti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potom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musi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být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plná moc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úředne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ověřeným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podpisem zmocnitele, ze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vyplýva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zmocněnce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podat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5 Forma a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náležitosti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reklamace/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stížnosti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5.1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musi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mít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písemnou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(listinnou, elektronickou) podobu.</w:t>
      </w: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br/>
        <w:t xml:space="preserve">5.2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musi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být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adresována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obsahovat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alespon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následujíci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údaje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: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lastRenderedPageBreak/>
        <w:t xml:space="preserve">a)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označeni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jedná o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b)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identifikačni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údaje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–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jméno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příjmeni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bydlište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kontaktni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adresu 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fyzických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obchodni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́ firmu (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název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),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sídlo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kontaktni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adresu,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jména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příjmeni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osob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jednat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jménem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právnicke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osoby 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právnických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c)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předmět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–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vylíčeni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skutečnosti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jejichz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základe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je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podávána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d)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čeho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domáha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e) datum a podpis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zmocněnce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těchto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5.3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musi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být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doručena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bez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zbytečného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odkladu po tom, kdy nastala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skutečnost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jíz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se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týka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bez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zbytečného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odkladu po tom, kdy se 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skutečnosti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dozvěděl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5.4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může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být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podána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osobním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jednáni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zástupcem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přičemz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bude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sepsán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písemny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záznam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zástupcem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rozsahu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údaju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uvedených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5.2.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Přijeti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a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vyřízeni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́ reklamace/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stížnosti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6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Přijeti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́ reklamace/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stížnosti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6.1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povinnost bez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zbytečného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odkladu po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doručeni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přezkoumat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zda je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podána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tomu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oprávněnou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osobou a zda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splňuje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formu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náležitosti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uvedene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5.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6.2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zjistí rozpor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4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5,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pokud nebude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považovat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dostatečne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jasnou a srozumitelnou, vyzve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písemne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osobu,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podala, k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doplněni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náprave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výzve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bude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upozorněni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pokud nebude toto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doplněni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náprava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doručena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stanovene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lhůte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̌ (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lhůtu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stanovuje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podle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svého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uváženi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minimálne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musi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činit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14 dní) od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doručeni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výzvy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odmítnout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6.3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osoba,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podala,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písemne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nevyhovi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výzve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a ve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stanovene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lhůte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nedoruči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potřebne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informace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doplněni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nebo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rozpor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4 nebo 3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5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nenapravitelny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odmítnout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odmítnuti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bude osoba,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podala,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písemne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vyrozuměna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6.4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nezjistí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žádny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rozpor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4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5,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byl rozpor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vyřešen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prostřednictvím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zasláni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výzvy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podle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článku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6.3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přijetím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doplněni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nebo jiné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nápravy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základe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výzvy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přistoupi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vyřízeni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reklamace.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7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Vyřízeni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́ reklamace/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stížnosti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7.1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rozhodne 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reklamaci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jedním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následujících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způsobu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̊: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a)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strane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skutečne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došlo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porušeni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obecne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závazných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právních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předpisu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způsobem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reklamaci/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uvádi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́, je povinna reklamaci/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vyhovět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rozsahu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požadovaném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přiznat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vše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čeho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domáha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nebo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b)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strane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skutečne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došlo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porušeni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obecne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závazných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právních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předpisu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avšak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celém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rozsahu,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reklamaci/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uvádi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je povinna </w:t>
      </w: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lastRenderedPageBreak/>
        <w:t>reklamaci/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části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uznat a z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části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zamítnout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;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potom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přizna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jen tu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část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jeho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požadavku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koresponduje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tímto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porušením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nebo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c)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strane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nedošlo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žádnému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porušeni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obecne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závazných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právních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předpisu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reklamaci/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uvádi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́, je povinen reklamaci/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zamítnout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jako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neopodstatněnou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7.2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povinna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vyřídit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reklamaci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nejpozději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do 30 dnů ode dne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jejího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obdrženi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lhůte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odeslat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písemne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vyjádřeni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́. Do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lhůty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nezapočítáva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doba, ve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vyzvala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doplněni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reklamace.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8 </w:t>
      </w:r>
      <w:proofErr w:type="spellStart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Závěrečna</w:t>
      </w:r>
      <w:proofErr w:type="spellEnd"/>
      <w:r w:rsidRPr="005675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́ ustanovení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8.1. V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nesouhlasi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vyřízením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reklamace nebo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stížnosti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obrátit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dozorovy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orgán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Zprostředkovatele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kterým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Česka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národni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banka,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sídlem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Příkope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28, 115 03 Praha 1,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Česka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republika, www.cnb.cz,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podat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žalobu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příslušného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soudu.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oprávněn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rovněz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obrátit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mimosoudni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orgán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řešeni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sporů,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kterým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v oblasti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investičních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životního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spotřebitelského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úvěru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finančni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arbitr – www.finarbitr.cz, u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dalších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finančních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produktů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zejména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neživotního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doplňkového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penzijního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spořeni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Česka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>obchodni</w:t>
      </w:r>
      <w:proofErr w:type="spellEnd"/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inspekce – www.coi.cz. </w:t>
      </w:r>
    </w:p>
    <w:p w:rsidR="00567583" w:rsidRDefault="00567583" w:rsidP="00567583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cs-CZ"/>
        </w:rPr>
      </w:pP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V </w:t>
      </w:r>
      <w:r>
        <w:rPr>
          <w:rFonts w:ascii="ArialMT" w:eastAsia="Times New Roman" w:hAnsi="ArialMT" w:cs="Times New Roman"/>
          <w:sz w:val="20"/>
          <w:szCs w:val="20"/>
          <w:lang w:eastAsia="cs-CZ"/>
        </w:rPr>
        <w:t>Olomouci</w:t>
      </w: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dne </w:t>
      </w:r>
      <w:r>
        <w:rPr>
          <w:rFonts w:ascii="ArialMT" w:eastAsia="Times New Roman" w:hAnsi="ArialMT" w:cs="Times New Roman"/>
          <w:sz w:val="20"/>
          <w:szCs w:val="20"/>
          <w:lang w:eastAsia="cs-CZ"/>
        </w:rPr>
        <w:t>15</w:t>
      </w: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  <w:r>
        <w:rPr>
          <w:rFonts w:ascii="ArialMT" w:eastAsia="Times New Roman" w:hAnsi="ArialMT" w:cs="Times New Roman"/>
          <w:sz w:val="20"/>
          <w:szCs w:val="20"/>
          <w:lang w:eastAsia="cs-CZ"/>
        </w:rPr>
        <w:t>3</w:t>
      </w:r>
      <w:r w:rsidRPr="00567583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2018 </w:t>
      </w:r>
    </w:p>
    <w:p w:rsidR="00567583" w:rsidRPr="00567583" w:rsidRDefault="00567583" w:rsidP="005675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ArialMT" w:eastAsia="Times New Roman" w:hAnsi="ArialMT" w:cs="Times New Roman"/>
          <w:sz w:val="20"/>
          <w:szCs w:val="20"/>
          <w:lang w:eastAsia="cs-CZ"/>
        </w:rPr>
        <w:t>Ing. Marcela Růčková</w:t>
      </w:r>
    </w:p>
    <w:p w:rsidR="00000000" w:rsidRDefault="00000000"/>
    <w:sectPr w:rsidR="007202B5" w:rsidSect="00B07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3"/>
    <w:rsid w:val="00155B50"/>
    <w:rsid w:val="00567583"/>
    <w:rsid w:val="007F0113"/>
    <w:rsid w:val="00B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E809B"/>
  <w15:chartTrackingRefBased/>
  <w15:docId w15:val="{3467207B-44E9-7F4C-9CCD-BB3235F0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75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1105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Růčková</dc:creator>
  <cp:keywords/>
  <dc:description/>
  <cp:lastModifiedBy>Marcela</cp:lastModifiedBy>
  <cp:revision>2</cp:revision>
  <cp:lastPrinted>2024-10-15T08:30:00Z</cp:lastPrinted>
  <dcterms:created xsi:type="dcterms:W3CDTF">2024-10-21T15:21:00Z</dcterms:created>
  <dcterms:modified xsi:type="dcterms:W3CDTF">2024-10-21T15:21:00Z</dcterms:modified>
</cp:coreProperties>
</file>